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b/>
          <w:kern w:val="0"/>
          <w14:ligatures w14:val="none"/>
        </w:rPr>
      </w:pPr>
      <w:r w:rsidRPr="00383BCA">
        <w:rPr>
          <w:rFonts w:ascii="Georgia" w:hAnsi="Georgia" w:cs="Times New Roman"/>
          <w:b/>
          <w:kern w:val="0"/>
          <w14:ligatures w14:val="none"/>
        </w:rPr>
        <w:t xml:space="preserve">CABINET  AVOCAT </w:t>
      </w: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b/>
          <w:kern w:val="0"/>
          <w14:ligatures w14:val="none"/>
        </w:rPr>
      </w:pPr>
      <w:r w:rsidRPr="00383BCA">
        <w:rPr>
          <w:rFonts w:ascii="Georgia" w:hAnsi="Georgia" w:cs="Times New Roman"/>
          <w:b/>
          <w:kern w:val="0"/>
          <w14:ligatures w14:val="none"/>
        </w:rPr>
        <w:t>BALTASIU ALEXANDRU DINU</w:t>
      </w: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  <w:proofErr w:type="spellStart"/>
      <w:r w:rsidRPr="00383BCA">
        <w:rPr>
          <w:rFonts w:ascii="Georgia" w:hAnsi="Georgia" w:cs="Times New Roman"/>
          <w:kern w:val="0"/>
          <w14:ligatures w14:val="none"/>
        </w:rPr>
        <w:t>Bucureşti</w:t>
      </w:r>
      <w:proofErr w:type="spellEnd"/>
      <w:r w:rsidRPr="00383BCA">
        <w:rPr>
          <w:rFonts w:ascii="Georgia" w:hAnsi="Georgia" w:cs="Times New Roman"/>
          <w:kern w:val="0"/>
          <w14:ligatures w14:val="none"/>
        </w:rPr>
        <w:t xml:space="preserve">, Sector 1, </w:t>
      </w: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 w:cs="Times New Roman"/>
          <w:kern w:val="0"/>
          <w14:ligatures w14:val="none"/>
        </w:rPr>
        <w:t>Calea Dorobanților 220 – 222, ap.1</w:t>
      </w: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 w:cs="Times New Roman"/>
          <w:kern w:val="0"/>
          <w14:ligatures w14:val="none"/>
        </w:rPr>
        <w:t>11 aprilie 2025</w:t>
      </w: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spacing w:after="0" w:line="276" w:lineRule="auto"/>
        <w:ind w:right="-46" w:firstLine="567"/>
        <w:contextualSpacing/>
        <w:jc w:val="center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 w:cs="Times New Roman"/>
          <w:b/>
          <w:kern w:val="0"/>
          <w14:ligatures w14:val="none"/>
        </w:rPr>
        <w:t>Situația dosarelor MNȚR la instanțele de judecată în anul 2024</w:t>
      </w: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numPr>
          <w:ilvl w:val="0"/>
          <w:numId w:val="1"/>
        </w:numPr>
        <w:spacing w:after="0" w:line="276" w:lineRule="auto"/>
        <w:ind w:left="0"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 w:cs="Times New Roman"/>
          <w:bCs/>
          <w:kern w:val="0"/>
          <w14:ligatures w14:val="none"/>
        </w:rPr>
        <w:t xml:space="preserve">Dosar </w:t>
      </w:r>
      <w:r w:rsidRPr="00383BCA">
        <w:rPr>
          <w:rFonts w:ascii="Georgia" w:hAnsi="Georgia" w:cs="Times New Roman"/>
          <w:b/>
          <w:kern w:val="0"/>
          <w14:ligatures w14:val="none"/>
        </w:rPr>
        <w:t>21304/3/2023</w:t>
      </w:r>
      <w:r w:rsidRPr="00383BCA">
        <w:rPr>
          <w:rFonts w:ascii="Georgia" w:hAnsi="Georgia" w:cs="Times New Roman"/>
          <w:kern w:val="0"/>
          <w14:ligatures w14:val="none"/>
        </w:rPr>
        <w:t xml:space="preserve"> – reclamant </w:t>
      </w:r>
      <w:proofErr w:type="spellStart"/>
      <w:r w:rsidRPr="00383BCA">
        <w:rPr>
          <w:rFonts w:ascii="Georgia" w:hAnsi="Georgia" w:cs="Times New Roman"/>
          <w:kern w:val="0"/>
          <w14:ligatures w14:val="none"/>
        </w:rPr>
        <w:t>Ciuntu</w:t>
      </w:r>
      <w:proofErr w:type="spellEnd"/>
      <w:r w:rsidRPr="00383BCA">
        <w:rPr>
          <w:rFonts w:ascii="Georgia" w:hAnsi="Georgia" w:cs="Times New Roman"/>
          <w:kern w:val="0"/>
          <w14:ligatures w14:val="none"/>
        </w:rPr>
        <w:t xml:space="preserve"> Daniela Raluca, pârât MNTR, contestație evaluare profesională – instanța de fond a respins cerere reclamantei </w:t>
      </w:r>
      <w:proofErr w:type="spellStart"/>
      <w:r w:rsidRPr="00383BCA">
        <w:rPr>
          <w:rFonts w:ascii="Georgia" w:hAnsi="Georgia" w:cs="Times New Roman"/>
          <w:kern w:val="0"/>
          <w14:ligatures w14:val="none"/>
        </w:rPr>
        <w:t>Ciuntu</w:t>
      </w:r>
      <w:proofErr w:type="spellEnd"/>
    </w:p>
    <w:p w:rsidR="00383BCA" w:rsidRPr="00383BCA" w:rsidRDefault="00383BCA" w:rsidP="008C2D46">
      <w:pPr>
        <w:spacing w:after="0" w:line="276" w:lineRule="auto"/>
        <w:ind w:right="-46" w:firstLine="567"/>
        <w:contextualSpacing/>
        <w:jc w:val="both"/>
        <w:rPr>
          <w:rFonts w:ascii="Georgia" w:hAnsi="Georgia" w:cs="Tahoma"/>
          <w:shd w:val="clear" w:color="auto" w:fill="FFFFFF"/>
        </w:rPr>
      </w:pPr>
      <w:r w:rsidRPr="00383BCA">
        <w:rPr>
          <w:rFonts w:ascii="Georgia" w:hAnsi="Georgia" w:cs="Tahoma"/>
          <w:shd w:val="clear" w:color="auto" w:fill="FFFFFF"/>
        </w:rPr>
        <w:t xml:space="preserve">Curtea de Apel Schimbă </w:t>
      </w:r>
      <w:proofErr w:type="spellStart"/>
      <w:r w:rsidRPr="00383BCA">
        <w:rPr>
          <w:rFonts w:ascii="Georgia" w:hAnsi="Georgia" w:cs="Tahoma"/>
          <w:shd w:val="clear" w:color="auto" w:fill="FFFFFF"/>
        </w:rPr>
        <w:t>sentinţa</w:t>
      </w:r>
      <w:proofErr w:type="spellEnd"/>
      <w:r w:rsidRPr="00383BCA">
        <w:rPr>
          <w:rFonts w:ascii="Georgia" w:hAnsi="Georgia" w:cs="Tahoma"/>
          <w:shd w:val="clear" w:color="auto" w:fill="FFFFFF"/>
        </w:rPr>
        <w:t xml:space="preserve"> civilă apelată în sensul că: Admite cererea de chemare în judecată. Anulează </w:t>
      </w:r>
      <w:proofErr w:type="spellStart"/>
      <w:r w:rsidRPr="00383BCA">
        <w:rPr>
          <w:rFonts w:ascii="Georgia" w:hAnsi="Georgia" w:cs="Tahoma"/>
          <w:shd w:val="clear" w:color="auto" w:fill="FFFFFF"/>
        </w:rPr>
        <w:t>fişa</w:t>
      </w:r>
      <w:proofErr w:type="spellEnd"/>
      <w:r w:rsidRPr="00383BCA">
        <w:rPr>
          <w:rFonts w:ascii="Georgia" w:hAnsi="Georgia" w:cs="Tahoma"/>
          <w:shd w:val="clear" w:color="auto" w:fill="FFFFFF"/>
        </w:rPr>
        <w:t xml:space="preserve"> de evaluare a </w:t>
      </w:r>
      <w:proofErr w:type="spellStart"/>
      <w:r w:rsidRPr="00383BCA">
        <w:rPr>
          <w:rFonts w:ascii="Georgia" w:hAnsi="Georgia" w:cs="Tahoma"/>
          <w:shd w:val="clear" w:color="auto" w:fill="FFFFFF"/>
        </w:rPr>
        <w:t>performanţelor</w:t>
      </w:r>
      <w:proofErr w:type="spellEnd"/>
      <w:r w:rsidRPr="00383BCA">
        <w:rPr>
          <w:rFonts w:ascii="Georgia" w:hAnsi="Georgia" w:cs="Tahoma"/>
          <w:shd w:val="clear" w:color="auto" w:fill="FFFFFF"/>
        </w:rPr>
        <w:t xml:space="preserve"> profesionale individuale ale reclamantei pe anul 2022. Ia act că reclamanta nu a solicitat cheltuieli de judecată. Definitivă (Hot</w:t>
      </w:r>
      <w:r w:rsidR="008C2D46">
        <w:rPr>
          <w:rFonts w:ascii="Georgia" w:hAnsi="Georgia" w:cs="Tahoma"/>
          <w:shd w:val="clear" w:color="auto" w:fill="FFFFFF"/>
        </w:rPr>
        <w:t>ă</w:t>
      </w:r>
      <w:r w:rsidRPr="00383BCA">
        <w:rPr>
          <w:rFonts w:ascii="Georgia" w:hAnsi="Georgia" w:cs="Tahoma"/>
          <w:shd w:val="clear" w:color="auto" w:fill="FFFFFF"/>
        </w:rPr>
        <w:t>râre  5302/18.12.2024).</w:t>
      </w:r>
    </w:p>
    <w:p w:rsidR="00383BCA" w:rsidRPr="00383BCA" w:rsidRDefault="00383BCA" w:rsidP="008C2D46">
      <w:pPr>
        <w:spacing w:after="0" w:line="276" w:lineRule="auto"/>
        <w:ind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numPr>
          <w:ilvl w:val="0"/>
          <w:numId w:val="1"/>
        </w:numPr>
        <w:spacing w:after="0" w:line="276" w:lineRule="auto"/>
        <w:ind w:left="0"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 w:cs="Times New Roman"/>
          <w:kern w:val="0"/>
          <w14:ligatures w14:val="none"/>
        </w:rPr>
        <w:t xml:space="preserve">Dosar </w:t>
      </w:r>
      <w:r w:rsidRPr="00383BCA">
        <w:rPr>
          <w:rFonts w:ascii="Georgia" w:hAnsi="Georgia" w:cs="Times New Roman"/>
          <w:b/>
          <w:kern w:val="0"/>
          <w14:ligatures w14:val="none"/>
        </w:rPr>
        <w:t>61326/299/2022</w:t>
      </w:r>
      <w:r w:rsidRPr="00383BCA">
        <w:rPr>
          <w:rFonts w:ascii="Georgia" w:hAnsi="Georgia" w:cs="Times New Roman"/>
          <w:kern w:val="0"/>
          <w14:ligatures w14:val="none"/>
        </w:rPr>
        <w:t xml:space="preserve"> - reclamant MNTR, pârât </w:t>
      </w:r>
      <w:proofErr w:type="spellStart"/>
      <w:r w:rsidRPr="00383BCA">
        <w:rPr>
          <w:rFonts w:ascii="Georgia" w:hAnsi="Georgia" w:cs="Times New Roman"/>
          <w:kern w:val="0"/>
          <w14:ligatures w14:val="none"/>
        </w:rPr>
        <w:t>Ciuntu</w:t>
      </w:r>
      <w:proofErr w:type="spellEnd"/>
      <w:r w:rsidRPr="00383BCA">
        <w:rPr>
          <w:rFonts w:ascii="Georgia" w:hAnsi="Georgia" w:cs="Times New Roman"/>
          <w:kern w:val="0"/>
          <w14:ligatures w14:val="none"/>
        </w:rPr>
        <w:t xml:space="preserve"> Daniela Raluca, </w:t>
      </w:r>
      <w:proofErr w:type="spellStart"/>
      <w:r w:rsidRPr="00383BCA">
        <w:rPr>
          <w:rFonts w:ascii="Georgia" w:hAnsi="Georgia" w:cs="Times New Roman"/>
          <w:kern w:val="0"/>
          <w14:ligatures w14:val="none"/>
        </w:rPr>
        <w:t>contestatie</w:t>
      </w:r>
      <w:proofErr w:type="spellEnd"/>
      <w:r w:rsidRPr="00383BCA">
        <w:rPr>
          <w:rFonts w:ascii="Georgia" w:hAnsi="Georgia" w:cs="Times New Roman"/>
          <w:kern w:val="0"/>
          <w14:ligatures w14:val="none"/>
        </w:rPr>
        <w:t xml:space="preserve"> la executare – termen la 24.09.2024. MNȚR contestă modul de calcul a sumei care trebuie achitată dnei. </w:t>
      </w:r>
      <w:proofErr w:type="spellStart"/>
      <w:r w:rsidRPr="00383BCA">
        <w:rPr>
          <w:rFonts w:ascii="Georgia" w:hAnsi="Georgia" w:cs="Times New Roman"/>
          <w:kern w:val="0"/>
          <w14:ligatures w14:val="none"/>
        </w:rPr>
        <w:t>Ciuntu</w:t>
      </w:r>
      <w:proofErr w:type="spellEnd"/>
      <w:r w:rsidRPr="00383BCA">
        <w:rPr>
          <w:rFonts w:ascii="Georgia" w:hAnsi="Georgia" w:cs="Times New Roman"/>
          <w:kern w:val="0"/>
          <w14:ligatures w14:val="none"/>
        </w:rPr>
        <w:t xml:space="preserve"> ca și spor de condiții grele pentru perioada aug.2020 – mai 2021.</w:t>
      </w:r>
    </w:p>
    <w:p w:rsidR="00383BCA" w:rsidRPr="00383BCA" w:rsidRDefault="00383BCA" w:rsidP="008C2D46">
      <w:pPr>
        <w:spacing w:after="0" w:line="276" w:lineRule="auto"/>
        <w:ind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 w:cs="Times New Roman"/>
          <w:kern w:val="0"/>
          <w14:ligatures w14:val="none"/>
        </w:rPr>
        <w:t>Dosarul este pe rol.</w:t>
      </w:r>
    </w:p>
    <w:p w:rsidR="00383BCA" w:rsidRPr="00383BCA" w:rsidRDefault="00383BCA" w:rsidP="008C2D46">
      <w:pPr>
        <w:spacing w:after="0" w:line="276" w:lineRule="auto"/>
        <w:ind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numPr>
          <w:ilvl w:val="0"/>
          <w:numId w:val="1"/>
        </w:numPr>
        <w:spacing w:after="0" w:line="276" w:lineRule="auto"/>
        <w:ind w:left="0"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 w:cs="Times New Roman"/>
          <w:kern w:val="0"/>
          <w14:ligatures w14:val="none"/>
        </w:rPr>
        <w:t xml:space="preserve">Dosar </w:t>
      </w:r>
      <w:r w:rsidRPr="00383BCA">
        <w:rPr>
          <w:rFonts w:ascii="Georgia" w:hAnsi="Georgia" w:cs="Times New Roman"/>
          <w:b/>
          <w:kern w:val="0"/>
          <w14:ligatures w14:val="none"/>
        </w:rPr>
        <w:t>685/3/2023</w:t>
      </w:r>
      <w:r w:rsidRPr="00383BCA">
        <w:rPr>
          <w:rFonts w:ascii="Georgia" w:hAnsi="Georgia" w:cs="Times New Roman"/>
          <w:kern w:val="0"/>
          <w14:ligatures w14:val="none"/>
        </w:rPr>
        <w:t xml:space="preserve"> – reclamant B</w:t>
      </w:r>
      <w:r w:rsidR="008C2D46">
        <w:rPr>
          <w:rFonts w:ascii="Georgia" w:hAnsi="Georgia" w:cs="Times New Roman"/>
          <w:kern w:val="0"/>
          <w14:ligatures w14:val="none"/>
        </w:rPr>
        <w:t>ă</w:t>
      </w:r>
      <w:r w:rsidRPr="00383BCA">
        <w:rPr>
          <w:rFonts w:ascii="Georgia" w:hAnsi="Georgia" w:cs="Times New Roman"/>
          <w:kern w:val="0"/>
          <w14:ligatures w14:val="none"/>
        </w:rPr>
        <w:t>lan Iuliana și Iancu Amalia (drepturi bănești).</w:t>
      </w:r>
    </w:p>
    <w:p w:rsidR="00383BCA" w:rsidRPr="00383BCA" w:rsidRDefault="00383BCA" w:rsidP="008C2D46">
      <w:pPr>
        <w:spacing w:after="0" w:line="276" w:lineRule="auto"/>
        <w:ind w:right="-46" w:firstLine="567"/>
        <w:contextualSpacing/>
        <w:jc w:val="both"/>
        <w:rPr>
          <w:rFonts w:ascii="Georgia" w:hAnsi="Georgia" w:cs="Tahoma"/>
          <w:shd w:val="clear" w:color="auto" w:fill="FFFFFF"/>
        </w:rPr>
      </w:pPr>
      <w:r w:rsidRPr="00383BCA">
        <w:rPr>
          <w:rFonts w:ascii="Georgia" w:hAnsi="Georgia" w:cs="Times New Roman"/>
          <w:kern w:val="0"/>
          <w14:ligatures w14:val="none"/>
        </w:rPr>
        <w:t xml:space="preserve">CAB </w:t>
      </w:r>
      <w:r w:rsidRPr="00383BCA">
        <w:rPr>
          <w:rFonts w:ascii="Georgia" w:hAnsi="Georgia" w:cs="Tahoma"/>
          <w:shd w:val="clear" w:color="auto" w:fill="FFFFFF"/>
        </w:rPr>
        <w:t xml:space="preserve">Admite apelul formulat de apelantele </w:t>
      </w:r>
      <w:proofErr w:type="spellStart"/>
      <w:r w:rsidR="008C2D46" w:rsidRPr="00383BCA">
        <w:rPr>
          <w:rFonts w:ascii="Georgia" w:hAnsi="Georgia" w:cs="Tahoma"/>
          <w:shd w:val="clear" w:color="auto" w:fill="FFFFFF"/>
        </w:rPr>
        <w:t>Balan</w:t>
      </w:r>
      <w:proofErr w:type="spellEnd"/>
      <w:r w:rsidR="008C2D46" w:rsidRPr="00383BCA">
        <w:rPr>
          <w:rFonts w:ascii="Georgia" w:hAnsi="Georgia" w:cs="Tahoma"/>
          <w:shd w:val="clear" w:color="auto" w:fill="FFFFFF"/>
        </w:rPr>
        <w:t xml:space="preserve"> Iuliana Daniela </w:t>
      </w:r>
      <w:r w:rsidR="008C2D46">
        <w:rPr>
          <w:rFonts w:ascii="Georgia" w:hAnsi="Georgia" w:cs="Tahoma"/>
          <w:shd w:val="clear" w:color="auto" w:fill="FFFFFF"/>
        </w:rPr>
        <w:t>ș</w:t>
      </w:r>
      <w:r w:rsidR="008C2D46" w:rsidRPr="00383BCA">
        <w:rPr>
          <w:rFonts w:ascii="Georgia" w:hAnsi="Georgia" w:cs="Tahoma"/>
          <w:shd w:val="clear" w:color="auto" w:fill="FFFFFF"/>
        </w:rPr>
        <w:t>i Iancu Amalia</w:t>
      </w:r>
      <w:r w:rsidRPr="00383BCA">
        <w:rPr>
          <w:rFonts w:ascii="Georgia" w:hAnsi="Georgia" w:cs="Tahoma"/>
          <w:shd w:val="clear" w:color="auto" w:fill="FFFFFF"/>
        </w:rPr>
        <w:t>. Schimb</w:t>
      </w:r>
      <w:r w:rsidR="008C2D46">
        <w:rPr>
          <w:rFonts w:ascii="Georgia" w:hAnsi="Georgia" w:cs="Tahoma"/>
          <w:shd w:val="clear" w:color="auto" w:fill="FFFFFF"/>
        </w:rPr>
        <w:t>ă</w:t>
      </w:r>
      <w:r w:rsidRPr="00383BCA">
        <w:rPr>
          <w:rFonts w:ascii="Georgia" w:hAnsi="Georgia" w:cs="Tahoma"/>
          <w:shd w:val="clear" w:color="auto" w:fill="FFFFFF"/>
        </w:rPr>
        <w:t xml:space="preserve"> </w:t>
      </w:r>
      <w:r w:rsidR="008C2D46">
        <w:rPr>
          <w:rFonts w:ascii="Georgia" w:hAnsi="Georgia" w:cs="Tahoma"/>
          <w:shd w:val="clear" w:color="auto" w:fill="FFFFFF"/>
        </w:rPr>
        <w:t>î</w:t>
      </w:r>
      <w:r w:rsidRPr="00383BCA">
        <w:rPr>
          <w:rFonts w:ascii="Georgia" w:hAnsi="Georgia" w:cs="Tahoma"/>
          <w:shd w:val="clear" w:color="auto" w:fill="FFFFFF"/>
        </w:rPr>
        <w:t>n parte sentin</w:t>
      </w:r>
      <w:r w:rsidR="008C2D46">
        <w:rPr>
          <w:rFonts w:ascii="Georgia" w:hAnsi="Georgia" w:cs="Tahoma"/>
          <w:shd w:val="clear" w:color="auto" w:fill="FFFFFF"/>
        </w:rPr>
        <w:t>ț</w:t>
      </w:r>
      <w:r w:rsidRPr="00383BCA">
        <w:rPr>
          <w:rFonts w:ascii="Georgia" w:hAnsi="Georgia" w:cs="Tahoma"/>
          <w:shd w:val="clear" w:color="auto" w:fill="FFFFFF"/>
        </w:rPr>
        <w:t>a apelat</w:t>
      </w:r>
      <w:r w:rsidR="008C2D46">
        <w:rPr>
          <w:rFonts w:ascii="Georgia" w:hAnsi="Georgia" w:cs="Tahoma"/>
          <w:shd w:val="clear" w:color="auto" w:fill="FFFFFF"/>
        </w:rPr>
        <w:t>ă.</w:t>
      </w:r>
      <w:r w:rsidRPr="00383BCA">
        <w:rPr>
          <w:rFonts w:ascii="Georgia" w:hAnsi="Georgia" w:cs="Tahoma"/>
          <w:shd w:val="clear" w:color="auto" w:fill="FFFFFF"/>
        </w:rPr>
        <w:t xml:space="preserve"> Obligă pârâtul la plata către fiecare reclamantă a sumei de 1655 lei, </w:t>
      </w:r>
      <w:proofErr w:type="spellStart"/>
      <w:r w:rsidRPr="00383BCA">
        <w:rPr>
          <w:rFonts w:ascii="Georgia" w:hAnsi="Georgia" w:cs="Tahoma"/>
          <w:shd w:val="clear" w:color="auto" w:fill="FFFFFF"/>
        </w:rPr>
        <w:t>reprezentind</w:t>
      </w:r>
      <w:proofErr w:type="spellEnd"/>
      <w:r w:rsidRPr="00383BCA">
        <w:rPr>
          <w:rFonts w:ascii="Georgia" w:hAnsi="Georgia" w:cs="Tahoma"/>
          <w:shd w:val="clear" w:color="auto" w:fill="FFFFFF"/>
        </w:rPr>
        <w:t xml:space="preserve"> contravaloare decont cheltuieli cazare, conform Anexei HG 518/1995. Obligă pârâtul la plata către reclamante a sumei de 1500 lei, reprezentând contravaloare onorariu avocat. Definitivă (</w:t>
      </w:r>
      <w:proofErr w:type="spellStart"/>
      <w:r w:rsidRPr="00383BCA">
        <w:rPr>
          <w:rFonts w:ascii="Georgia" w:hAnsi="Georgia" w:cs="Tahoma"/>
          <w:shd w:val="clear" w:color="auto" w:fill="FFFFFF"/>
        </w:rPr>
        <w:t>Hotarâre</w:t>
      </w:r>
      <w:proofErr w:type="spellEnd"/>
      <w:r w:rsidRPr="00383BCA">
        <w:rPr>
          <w:rFonts w:ascii="Georgia" w:hAnsi="Georgia" w:cs="Tahoma"/>
          <w:shd w:val="clear" w:color="auto" w:fill="FFFFFF"/>
        </w:rPr>
        <w:t>  1372/19.03.2024).</w:t>
      </w:r>
    </w:p>
    <w:p w:rsidR="00383BCA" w:rsidRPr="00383BCA" w:rsidRDefault="00383BCA" w:rsidP="008C2D46">
      <w:pPr>
        <w:spacing w:after="0" w:line="276" w:lineRule="auto"/>
        <w:ind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</w:p>
    <w:p w:rsidR="008C2D46" w:rsidRPr="008C2D46" w:rsidRDefault="00383BCA" w:rsidP="008C2D46">
      <w:pPr>
        <w:numPr>
          <w:ilvl w:val="0"/>
          <w:numId w:val="1"/>
        </w:numPr>
        <w:spacing w:after="0" w:line="276" w:lineRule="auto"/>
        <w:ind w:left="0"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 w:cs="Times New Roman"/>
          <w:kern w:val="0"/>
          <w14:ligatures w14:val="none"/>
        </w:rPr>
        <w:t xml:space="preserve">Dosar </w:t>
      </w:r>
      <w:r w:rsidRPr="00383BCA">
        <w:rPr>
          <w:rFonts w:ascii="Georgia" w:hAnsi="Georgia" w:cs="Times New Roman"/>
          <w:b/>
          <w:kern w:val="0"/>
          <w14:ligatures w14:val="none"/>
        </w:rPr>
        <w:t>686/3/2024</w:t>
      </w:r>
      <w:r w:rsidRPr="00383BCA">
        <w:rPr>
          <w:rFonts w:ascii="Georgia" w:hAnsi="Georgia" w:cs="Times New Roman"/>
          <w:kern w:val="0"/>
          <w14:ligatures w14:val="none"/>
        </w:rPr>
        <w:t xml:space="preserve"> - reclamant </w:t>
      </w:r>
      <w:proofErr w:type="spellStart"/>
      <w:r w:rsidRPr="00383BCA">
        <w:rPr>
          <w:rFonts w:ascii="Georgia" w:hAnsi="Georgia" w:cs="Times New Roman"/>
          <w:kern w:val="0"/>
          <w14:ligatures w14:val="none"/>
        </w:rPr>
        <w:t>Ciuntu</w:t>
      </w:r>
      <w:proofErr w:type="spellEnd"/>
      <w:r w:rsidRPr="00383BCA">
        <w:rPr>
          <w:rFonts w:ascii="Georgia" w:hAnsi="Georgia" w:cs="Times New Roman"/>
          <w:kern w:val="0"/>
          <w14:ligatures w14:val="none"/>
        </w:rPr>
        <w:t xml:space="preserve"> Daniela Raluca, pârât MNȚR drepturi bănești spor de </w:t>
      </w:r>
      <w:proofErr w:type="spellStart"/>
      <w:r w:rsidRPr="00383BCA">
        <w:rPr>
          <w:rFonts w:ascii="Georgia" w:hAnsi="Georgia" w:cs="Times New Roman"/>
          <w:kern w:val="0"/>
          <w14:ligatures w14:val="none"/>
        </w:rPr>
        <w:t>conditii</w:t>
      </w:r>
      <w:proofErr w:type="spellEnd"/>
      <w:r w:rsidRPr="00383BCA">
        <w:rPr>
          <w:rFonts w:ascii="Georgia" w:hAnsi="Georgia" w:cs="Times New Roman"/>
          <w:kern w:val="0"/>
          <w14:ligatures w14:val="none"/>
        </w:rPr>
        <w:t xml:space="preserve"> grele. </w:t>
      </w:r>
      <w:r w:rsidRPr="008C2D46">
        <w:rPr>
          <w:rFonts w:ascii="Georgia" w:hAnsi="Georgia" w:cs="Times New Roman"/>
          <w:kern w:val="0"/>
          <w14:ligatures w14:val="none"/>
        </w:rPr>
        <w:t xml:space="preserve">Tribunalul a </w:t>
      </w:r>
      <w:r w:rsidRPr="008C2D46">
        <w:rPr>
          <w:rFonts w:ascii="Georgia" w:hAnsi="Georgia" w:cs="Times New Roman"/>
          <w:kern w:val="0"/>
          <w:shd w:val="clear" w:color="auto" w:fill="FFFFFF"/>
          <w14:ligatures w14:val="none"/>
        </w:rPr>
        <w:t xml:space="preserve">respins la fond </w:t>
      </w:r>
      <w:proofErr w:type="spellStart"/>
      <w:r w:rsidRPr="008C2D46">
        <w:rPr>
          <w:rFonts w:ascii="Georgia" w:hAnsi="Georgia" w:cs="Times New Roman"/>
          <w:kern w:val="0"/>
          <w:shd w:val="clear" w:color="auto" w:fill="FFFFFF"/>
          <w14:ligatures w14:val="none"/>
        </w:rPr>
        <w:t>acţiunea</w:t>
      </w:r>
      <w:proofErr w:type="spellEnd"/>
      <w:r w:rsidRPr="008C2D46">
        <w:rPr>
          <w:rFonts w:ascii="Georgia" w:hAnsi="Georgia" w:cs="Times New Roman"/>
          <w:kern w:val="0"/>
          <w:shd w:val="clear" w:color="auto" w:fill="FFFFFF"/>
          <w14:ligatures w14:val="none"/>
        </w:rPr>
        <w:t xml:space="preserve"> ca neîntemeiată. (</w:t>
      </w:r>
      <w:proofErr w:type="spellStart"/>
      <w:r w:rsidRPr="008C2D46">
        <w:rPr>
          <w:rFonts w:ascii="Georgia" w:hAnsi="Georgia" w:cs="Times New Roman"/>
          <w:kern w:val="0"/>
          <w:shd w:val="clear" w:color="auto" w:fill="FFFFFF"/>
          <w14:ligatures w14:val="none"/>
        </w:rPr>
        <w:t>Hotarâre</w:t>
      </w:r>
      <w:proofErr w:type="spellEnd"/>
      <w:r w:rsidRPr="008C2D46">
        <w:rPr>
          <w:rFonts w:ascii="Georgia" w:hAnsi="Georgia" w:cs="Times New Roman"/>
          <w:kern w:val="0"/>
          <w:shd w:val="clear" w:color="auto" w:fill="FFFFFF"/>
          <w14:ligatures w14:val="none"/>
        </w:rPr>
        <w:t xml:space="preserve">  3784/20.05.2024). </w:t>
      </w:r>
    </w:p>
    <w:p w:rsidR="00383BCA" w:rsidRPr="008C2D46" w:rsidRDefault="00383BCA" w:rsidP="008C2D46">
      <w:pPr>
        <w:spacing w:after="0" w:line="276" w:lineRule="auto"/>
        <w:ind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  <w:r w:rsidRPr="008C2D46">
        <w:rPr>
          <w:rFonts w:ascii="Georgia" w:hAnsi="Georgia" w:cs="Times New Roman"/>
          <w:kern w:val="0"/>
          <w:shd w:val="clear" w:color="auto" w:fill="FFFFFF"/>
          <w14:ligatures w14:val="none"/>
        </w:rPr>
        <w:t>Hotărârea a fost atacată cu apel, termen 04.06.2025.</w:t>
      </w:r>
    </w:p>
    <w:p w:rsidR="00383BCA" w:rsidRPr="00383BCA" w:rsidRDefault="00383BCA" w:rsidP="008C2D46">
      <w:pPr>
        <w:spacing w:after="0" w:line="276" w:lineRule="auto"/>
        <w:ind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numPr>
          <w:ilvl w:val="0"/>
          <w:numId w:val="2"/>
        </w:numPr>
        <w:spacing w:after="0" w:line="276" w:lineRule="auto"/>
        <w:ind w:left="0" w:right="-46" w:firstLine="567"/>
        <w:contextualSpacing/>
        <w:jc w:val="both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 w:cs="Times New Roman"/>
          <w:b/>
          <w:bCs/>
          <w:kern w:val="0"/>
          <w14:ligatures w14:val="none"/>
        </w:rPr>
        <w:t>Dosar 39006/299/2024,</w:t>
      </w:r>
      <w:r w:rsidRPr="00383BCA">
        <w:rPr>
          <w:rFonts w:ascii="Georgia" w:hAnsi="Georgia"/>
        </w:rPr>
        <w:t xml:space="preserve"> confirmare </w:t>
      </w:r>
      <w:proofErr w:type="spellStart"/>
      <w:r w:rsidRPr="00383BCA">
        <w:rPr>
          <w:rFonts w:ascii="Georgia" w:hAnsi="Georgia"/>
        </w:rPr>
        <w:t>renunţare</w:t>
      </w:r>
      <w:proofErr w:type="spellEnd"/>
      <w:r w:rsidRPr="00383BCA">
        <w:rPr>
          <w:rFonts w:ascii="Georgia" w:hAnsi="Georgia"/>
        </w:rPr>
        <w:t xml:space="preserve"> urmărire penală (art. 318 alin. 12 NCPP) 10255/160/P/2021</w:t>
      </w: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/>
          <w:lang w:eastAsia="ro-RO"/>
        </w:rPr>
        <w:t xml:space="preserve">În temeiul art. 318 alin. (15) teza I C. </w:t>
      </w:r>
      <w:proofErr w:type="spellStart"/>
      <w:r w:rsidRPr="00383BCA">
        <w:rPr>
          <w:rFonts w:ascii="Georgia" w:hAnsi="Georgia"/>
          <w:lang w:eastAsia="ro-RO"/>
        </w:rPr>
        <w:t>proc</w:t>
      </w:r>
      <w:proofErr w:type="spellEnd"/>
      <w:r w:rsidRPr="00383BCA">
        <w:rPr>
          <w:rFonts w:ascii="Georgia" w:hAnsi="Georgia"/>
          <w:lang w:eastAsia="ro-RO"/>
        </w:rPr>
        <w:t xml:space="preserve">. </w:t>
      </w:r>
      <w:proofErr w:type="spellStart"/>
      <w:r w:rsidRPr="00383BCA">
        <w:rPr>
          <w:rFonts w:ascii="Georgia" w:hAnsi="Georgia"/>
          <w:lang w:eastAsia="ro-RO"/>
        </w:rPr>
        <w:t>pen</w:t>
      </w:r>
      <w:proofErr w:type="spellEnd"/>
      <w:r w:rsidRPr="00383BCA">
        <w:rPr>
          <w:rFonts w:ascii="Georgia" w:hAnsi="Georgia"/>
          <w:lang w:eastAsia="ro-RO"/>
        </w:rPr>
        <w:t xml:space="preserve">., admite cererea de confirmare a </w:t>
      </w:r>
      <w:proofErr w:type="spellStart"/>
      <w:r w:rsidRPr="00383BCA">
        <w:rPr>
          <w:rFonts w:ascii="Georgia" w:hAnsi="Georgia"/>
          <w:lang w:eastAsia="ro-RO"/>
        </w:rPr>
        <w:t>renunţării</w:t>
      </w:r>
      <w:proofErr w:type="spellEnd"/>
      <w:r w:rsidRPr="00383BCA">
        <w:rPr>
          <w:rFonts w:ascii="Georgia" w:hAnsi="Georgia"/>
          <w:lang w:eastAsia="ro-RO"/>
        </w:rPr>
        <w:t xml:space="preserve"> la urmărirea penală formulată de Parchetul de pe lângă Judecătoria Sectorului 1 </w:t>
      </w:r>
      <w:proofErr w:type="spellStart"/>
      <w:r w:rsidRPr="00383BCA">
        <w:rPr>
          <w:rFonts w:ascii="Georgia" w:hAnsi="Georgia"/>
          <w:lang w:eastAsia="ro-RO"/>
        </w:rPr>
        <w:t>Bucureşti</w:t>
      </w:r>
      <w:proofErr w:type="spellEnd"/>
      <w:r w:rsidRPr="00383BCA">
        <w:rPr>
          <w:rFonts w:ascii="Georgia" w:hAnsi="Georgia"/>
          <w:lang w:eastAsia="ro-RO"/>
        </w:rPr>
        <w:t xml:space="preserve">. Constată legalitatea </w:t>
      </w:r>
      <w:proofErr w:type="spellStart"/>
      <w:r w:rsidRPr="00383BCA">
        <w:rPr>
          <w:rFonts w:ascii="Georgia" w:hAnsi="Georgia"/>
          <w:lang w:eastAsia="ro-RO"/>
        </w:rPr>
        <w:t>şi</w:t>
      </w:r>
      <w:proofErr w:type="spellEnd"/>
      <w:r w:rsidRPr="00383BCA">
        <w:rPr>
          <w:rFonts w:ascii="Georgia" w:hAnsi="Georgia"/>
          <w:lang w:eastAsia="ro-RO"/>
        </w:rPr>
        <w:t xml:space="preserve"> temeinicia </w:t>
      </w:r>
      <w:proofErr w:type="spellStart"/>
      <w:r w:rsidRPr="00383BCA">
        <w:rPr>
          <w:rFonts w:ascii="Georgia" w:hAnsi="Georgia"/>
          <w:lang w:eastAsia="ro-RO"/>
        </w:rPr>
        <w:t>soluţiei</w:t>
      </w:r>
      <w:proofErr w:type="spellEnd"/>
      <w:r w:rsidRPr="00383BCA">
        <w:rPr>
          <w:rFonts w:ascii="Georgia" w:hAnsi="Georgia"/>
          <w:lang w:eastAsia="ro-RO"/>
        </w:rPr>
        <w:t xml:space="preserve"> de </w:t>
      </w:r>
      <w:proofErr w:type="spellStart"/>
      <w:r w:rsidRPr="00383BCA">
        <w:rPr>
          <w:rFonts w:ascii="Georgia" w:hAnsi="Georgia"/>
          <w:lang w:eastAsia="ro-RO"/>
        </w:rPr>
        <w:t>renunţare</w:t>
      </w:r>
      <w:proofErr w:type="spellEnd"/>
      <w:r w:rsidRPr="00383BCA">
        <w:rPr>
          <w:rFonts w:ascii="Georgia" w:hAnsi="Georgia"/>
          <w:lang w:eastAsia="ro-RO"/>
        </w:rPr>
        <w:t xml:space="preserve"> la urmărire penală </w:t>
      </w:r>
      <w:proofErr w:type="spellStart"/>
      <w:r w:rsidRPr="00383BCA">
        <w:rPr>
          <w:rFonts w:ascii="Georgia" w:hAnsi="Georgia"/>
          <w:lang w:eastAsia="ro-RO"/>
        </w:rPr>
        <w:t>şi</w:t>
      </w:r>
      <w:proofErr w:type="spellEnd"/>
      <w:r w:rsidRPr="00383BCA">
        <w:rPr>
          <w:rFonts w:ascii="Georgia" w:hAnsi="Georgia"/>
          <w:lang w:eastAsia="ro-RO"/>
        </w:rPr>
        <w:t xml:space="preserve">, pe cale de </w:t>
      </w:r>
      <w:proofErr w:type="spellStart"/>
      <w:r w:rsidRPr="00383BCA">
        <w:rPr>
          <w:rFonts w:ascii="Georgia" w:hAnsi="Georgia"/>
          <w:lang w:eastAsia="ro-RO"/>
        </w:rPr>
        <w:t>consecinţă</w:t>
      </w:r>
      <w:proofErr w:type="spellEnd"/>
      <w:r w:rsidRPr="00383BCA">
        <w:rPr>
          <w:rFonts w:ascii="Georgia" w:hAnsi="Georgia"/>
          <w:lang w:eastAsia="ro-RO"/>
        </w:rPr>
        <w:t xml:space="preserve">, confirmă </w:t>
      </w:r>
      <w:proofErr w:type="spellStart"/>
      <w:r w:rsidRPr="00383BCA">
        <w:rPr>
          <w:rFonts w:ascii="Georgia" w:hAnsi="Georgia"/>
          <w:lang w:eastAsia="ro-RO"/>
        </w:rPr>
        <w:t>Ordonanţa</w:t>
      </w:r>
      <w:proofErr w:type="spellEnd"/>
      <w:r w:rsidRPr="00383BCA">
        <w:rPr>
          <w:rFonts w:ascii="Georgia" w:hAnsi="Georgia"/>
          <w:lang w:eastAsia="ro-RO"/>
        </w:rPr>
        <w:t xml:space="preserve"> din data de 11.11.2024 </w:t>
      </w:r>
      <w:r w:rsidRPr="00383BCA">
        <w:rPr>
          <w:rFonts w:ascii="Georgia" w:hAnsi="Georgia"/>
          <w:lang w:eastAsia="ro-RO"/>
        </w:rPr>
        <w:lastRenderedPageBreak/>
        <w:t xml:space="preserve">emisă de Parchetul de pe lângă Judecătoria Sectorului 1 </w:t>
      </w:r>
      <w:proofErr w:type="spellStart"/>
      <w:r w:rsidRPr="00383BCA">
        <w:rPr>
          <w:rFonts w:ascii="Georgia" w:hAnsi="Georgia"/>
          <w:lang w:eastAsia="ro-RO"/>
        </w:rPr>
        <w:t>Bucureşti</w:t>
      </w:r>
      <w:proofErr w:type="spellEnd"/>
      <w:r w:rsidRPr="00383BCA">
        <w:rPr>
          <w:rFonts w:ascii="Georgia" w:hAnsi="Georgia"/>
          <w:lang w:eastAsia="ro-RO"/>
        </w:rPr>
        <w:t xml:space="preserve"> în dosarul nr. 10255/160/P/2021 privind </w:t>
      </w:r>
      <w:proofErr w:type="spellStart"/>
      <w:r w:rsidRPr="00383BCA">
        <w:rPr>
          <w:rFonts w:ascii="Georgia" w:hAnsi="Georgia"/>
          <w:lang w:eastAsia="ro-RO"/>
        </w:rPr>
        <w:t>infracţiunea</w:t>
      </w:r>
      <w:proofErr w:type="spellEnd"/>
      <w:r w:rsidRPr="00383BCA">
        <w:rPr>
          <w:rFonts w:ascii="Georgia" w:hAnsi="Georgia"/>
          <w:lang w:eastAsia="ro-RO"/>
        </w:rPr>
        <w:t xml:space="preserve"> de tentativă la </w:t>
      </w:r>
      <w:proofErr w:type="spellStart"/>
      <w:r w:rsidRPr="00383BCA">
        <w:rPr>
          <w:rFonts w:ascii="Georgia" w:hAnsi="Georgia"/>
          <w:lang w:eastAsia="ro-RO"/>
        </w:rPr>
        <w:t>înşelăciune</w:t>
      </w:r>
      <w:proofErr w:type="spellEnd"/>
      <w:r w:rsidRPr="00383BCA">
        <w:rPr>
          <w:rFonts w:ascii="Georgia" w:hAnsi="Georgia"/>
          <w:lang w:eastAsia="ro-RO"/>
        </w:rPr>
        <w:t xml:space="preserve"> (art. 32 raportat la art. 244 alin. (1) C. </w:t>
      </w:r>
      <w:proofErr w:type="spellStart"/>
      <w:r w:rsidRPr="00383BCA">
        <w:rPr>
          <w:rFonts w:ascii="Georgia" w:hAnsi="Georgia"/>
          <w:lang w:eastAsia="ro-RO"/>
        </w:rPr>
        <w:t>pen</w:t>
      </w:r>
      <w:proofErr w:type="spellEnd"/>
      <w:r w:rsidRPr="00383BCA">
        <w:rPr>
          <w:rFonts w:ascii="Georgia" w:hAnsi="Georgia"/>
          <w:lang w:eastAsia="ro-RO"/>
        </w:rPr>
        <w:t xml:space="preserve">.). În temeiul art. 275 alin. (3) C. </w:t>
      </w:r>
      <w:proofErr w:type="spellStart"/>
      <w:r w:rsidRPr="00383BCA">
        <w:rPr>
          <w:rFonts w:ascii="Georgia" w:hAnsi="Georgia"/>
          <w:lang w:eastAsia="ro-RO"/>
        </w:rPr>
        <w:t>proc</w:t>
      </w:r>
      <w:proofErr w:type="spellEnd"/>
      <w:r w:rsidRPr="00383BCA">
        <w:rPr>
          <w:rFonts w:ascii="Georgia" w:hAnsi="Georgia"/>
          <w:lang w:eastAsia="ro-RO"/>
        </w:rPr>
        <w:t xml:space="preserve">. </w:t>
      </w:r>
      <w:proofErr w:type="spellStart"/>
      <w:r w:rsidRPr="00383BCA">
        <w:rPr>
          <w:rFonts w:ascii="Georgia" w:hAnsi="Georgia"/>
          <w:lang w:eastAsia="ro-RO"/>
        </w:rPr>
        <w:t>pen</w:t>
      </w:r>
      <w:proofErr w:type="spellEnd"/>
      <w:r w:rsidRPr="00383BCA">
        <w:rPr>
          <w:rFonts w:ascii="Georgia" w:hAnsi="Georgia"/>
          <w:lang w:eastAsia="ro-RO"/>
        </w:rPr>
        <w:t xml:space="preserve">. cheltuielile judiciare avansate de stat rămân în sarcina acestuia. Definitivă. </w:t>
      </w:r>
      <w:proofErr w:type="spellStart"/>
      <w:r w:rsidRPr="00383BCA">
        <w:rPr>
          <w:rFonts w:ascii="Georgia" w:hAnsi="Georgia"/>
          <w:lang w:eastAsia="ro-RO"/>
        </w:rPr>
        <w:t>Pronunţată</w:t>
      </w:r>
      <w:proofErr w:type="spellEnd"/>
      <w:r w:rsidRPr="00383BCA">
        <w:rPr>
          <w:rFonts w:ascii="Georgia" w:hAnsi="Georgia"/>
          <w:lang w:eastAsia="ro-RO"/>
        </w:rPr>
        <w:t xml:space="preserve"> în data de 13.12.2024, prin punerea </w:t>
      </w:r>
      <w:proofErr w:type="spellStart"/>
      <w:r w:rsidRPr="00383BCA">
        <w:rPr>
          <w:rFonts w:ascii="Georgia" w:hAnsi="Georgia"/>
          <w:lang w:eastAsia="ro-RO"/>
        </w:rPr>
        <w:t>soluţiei</w:t>
      </w:r>
      <w:proofErr w:type="spellEnd"/>
      <w:r w:rsidRPr="00383BCA">
        <w:rPr>
          <w:rFonts w:ascii="Georgia" w:hAnsi="Georgia"/>
          <w:lang w:eastAsia="ro-RO"/>
        </w:rPr>
        <w:t xml:space="preserve"> la </w:t>
      </w:r>
      <w:proofErr w:type="spellStart"/>
      <w:r w:rsidRPr="00383BCA">
        <w:rPr>
          <w:rFonts w:ascii="Georgia" w:hAnsi="Georgia"/>
          <w:lang w:eastAsia="ro-RO"/>
        </w:rPr>
        <w:t>dispoziţia</w:t>
      </w:r>
      <w:proofErr w:type="spellEnd"/>
      <w:r w:rsidRPr="00383BCA">
        <w:rPr>
          <w:rFonts w:ascii="Georgia" w:hAnsi="Georgia"/>
          <w:lang w:eastAsia="ro-RO"/>
        </w:rPr>
        <w:t xml:space="preserve"> procurorului </w:t>
      </w:r>
      <w:proofErr w:type="spellStart"/>
      <w:r w:rsidRPr="00383BCA">
        <w:rPr>
          <w:rFonts w:ascii="Georgia" w:hAnsi="Georgia"/>
          <w:lang w:eastAsia="ro-RO"/>
        </w:rPr>
        <w:t>şi</w:t>
      </w:r>
      <w:proofErr w:type="spellEnd"/>
      <w:r w:rsidRPr="00383BCA">
        <w:rPr>
          <w:rFonts w:ascii="Georgia" w:hAnsi="Georgia"/>
          <w:lang w:eastAsia="ro-RO"/>
        </w:rPr>
        <w:t xml:space="preserve"> a intimatului prin mijlocirea grefei </w:t>
      </w:r>
      <w:proofErr w:type="spellStart"/>
      <w:r w:rsidRPr="00383BCA">
        <w:rPr>
          <w:rFonts w:ascii="Georgia" w:hAnsi="Georgia"/>
          <w:lang w:eastAsia="ro-RO"/>
        </w:rPr>
        <w:t>instanţei</w:t>
      </w:r>
      <w:proofErr w:type="spellEnd"/>
      <w:r w:rsidRPr="00383BCA">
        <w:rPr>
          <w:rFonts w:ascii="Georgia" w:hAnsi="Georgia"/>
          <w:lang w:eastAsia="ro-RO"/>
        </w:rPr>
        <w:t xml:space="preserve"> (Încheiere finală </w:t>
      </w:r>
      <w:proofErr w:type="spellStart"/>
      <w:r w:rsidRPr="00383BCA">
        <w:rPr>
          <w:rFonts w:ascii="Georgia" w:hAnsi="Georgia"/>
          <w:lang w:eastAsia="ro-RO"/>
        </w:rPr>
        <w:t>dezinvestire</w:t>
      </w:r>
      <w:proofErr w:type="spellEnd"/>
      <w:r w:rsidRPr="00383BCA">
        <w:rPr>
          <w:rFonts w:ascii="Georgia" w:hAnsi="Georgia"/>
          <w:lang w:eastAsia="ro-RO"/>
        </w:rPr>
        <w:t xml:space="preserve"> din 20.01.2025).</w:t>
      </w:r>
    </w:p>
    <w:tbl>
      <w:tblPr>
        <w:tblW w:w="518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  <w:gridCol w:w="333"/>
      </w:tblGrid>
      <w:tr w:rsidR="00383BCA" w:rsidRPr="00383BCA" w:rsidTr="0029068D">
        <w:trPr>
          <w:gridAfter w:val="1"/>
          <w:wAfter w:w="178" w:type="p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83BCA" w:rsidRPr="00383BCA" w:rsidRDefault="00383BCA" w:rsidP="008C2D46">
            <w:pPr>
              <w:spacing w:line="259" w:lineRule="auto"/>
              <w:ind w:firstLine="567"/>
              <w:jc w:val="both"/>
              <w:rPr>
                <w:rFonts w:ascii="Georgia" w:hAnsi="Georgia"/>
              </w:rPr>
            </w:pPr>
          </w:p>
          <w:p w:rsidR="00383BCA" w:rsidRPr="008C2D46" w:rsidRDefault="00383BCA" w:rsidP="008C2D46">
            <w:pPr>
              <w:numPr>
                <w:ilvl w:val="0"/>
                <w:numId w:val="2"/>
              </w:numPr>
              <w:spacing w:line="259" w:lineRule="auto"/>
              <w:ind w:left="0" w:firstLine="567"/>
              <w:contextualSpacing/>
              <w:jc w:val="both"/>
              <w:rPr>
                <w:rFonts w:ascii="Georgia" w:hAnsi="Georgia"/>
              </w:rPr>
            </w:pPr>
            <w:r w:rsidRPr="00383BCA">
              <w:rPr>
                <w:rFonts w:ascii="Georgia" w:hAnsi="Georgia"/>
                <w:b/>
                <w:bCs/>
              </w:rPr>
              <w:t>Dosar 36881/3/2022</w:t>
            </w:r>
            <w:r w:rsidRPr="00383BCA">
              <w:rPr>
                <w:rFonts w:ascii="Georgia" w:hAnsi="Georgia"/>
              </w:rPr>
              <w:t xml:space="preserve"> secția I penală, camera preliminară, fond </w:t>
            </w:r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t xml:space="preserve">uzurparea </w:t>
            </w:r>
            <w:proofErr w:type="spellStart"/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t>funcţiei</w:t>
            </w:r>
            <w:proofErr w:type="spellEnd"/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t xml:space="preserve"> (art.300 NCP) art. 300 C.p. rap. la art. 13 ind. 2 din Legea 78/2000 cu aplic art. 35 alin 1 </w:t>
            </w:r>
            <w:proofErr w:type="spellStart"/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t>C.pen</w:t>
            </w:r>
            <w:proofErr w:type="spellEnd"/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t>.</w:t>
            </w:r>
          </w:p>
          <w:p w:rsidR="008C2D46" w:rsidRPr="008C2D46" w:rsidRDefault="008C2D46" w:rsidP="008C2D46">
            <w:pPr>
              <w:spacing w:line="259" w:lineRule="auto"/>
              <w:ind w:left="567"/>
              <w:contextualSpacing/>
              <w:jc w:val="both"/>
              <w:rPr>
                <w:rFonts w:ascii="Georgia" w:hAnsi="Georgia"/>
              </w:rPr>
            </w:pPr>
            <w:r w:rsidRPr="008C2D46">
              <w:rPr>
                <w:rFonts w:ascii="Georgia" w:hAnsi="Georgia"/>
              </w:rPr>
              <w:t xml:space="preserve">MNȚR </w:t>
            </w:r>
            <w:r>
              <w:rPr>
                <w:rFonts w:ascii="Georgia" w:hAnsi="Georgia"/>
              </w:rPr>
              <w:t xml:space="preserve">parte civilă în contradictoriu cu  </w:t>
            </w:r>
            <w:proofErr w:type="spellStart"/>
            <w:r>
              <w:rPr>
                <w:rFonts w:ascii="Georgia" w:hAnsi="Georgia"/>
              </w:rPr>
              <w:t>inc.Mihaly</w:t>
            </w:r>
            <w:proofErr w:type="spellEnd"/>
            <w:r>
              <w:rPr>
                <w:rFonts w:ascii="Georgia" w:hAnsi="Georgia"/>
              </w:rPr>
              <w:t xml:space="preserve"> Daniela. </w:t>
            </w:r>
          </w:p>
          <w:p w:rsidR="00383BCA" w:rsidRPr="00383BCA" w:rsidRDefault="00383BCA" w:rsidP="008C2D46">
            <w:pPr>
              <w:spacing w:line="259" w:lineRule="auto"/>
              <w:ind w:firstLine="567"/>
              <w:contextualSpacing/>
              <w:jc w:val="both"/>
              <w:rPr>
                <w:rFonts w:ascii="Georgia" w:eastAsia="Times New Roman" w:hAnsi="Georgia" w:cs="Tahoma"/>
                <w:kern w:val="0"/>
                <w14:ligatures w14:val="none"/>
              </w:rPr>
            </w:pPr>
            <w:r w:rsidRPr="00383BCA">
              <w:rPr>
                <w:rFonts w:ascii="Georgia" w:eastAsia="Times New Roman" w:hAnsi="Georgia" w:cs="Tahoma"/>
                <w:kern w:val="0"/>
                <w14:ligatures w14:val="none"/>
              </w:rPr>
              <w:t>Dosarul este în desfășurare.</w:t>
            </w:r>
          </w:p>
          <w:p w:rsidR="00383BCA" w:rsidRPr="00383BCA" w:rsidRDefault="00383BCA" w:rsidP="008C2D46">
            <w:pPr>
              <w:spacing w:line="259" w:lineRule="auto"/>
              <w:ind w:firstLine="567"/>
              <w:contextualSpacing/>
              <w:jc w:val="both"/>
              <w:rPr>
                <w:rFonts w:ascii="Georgia" w:hAnsi="Georgia"/>
              </w:rPr>
            </w:pPr>
          </w:p>
          <w:p w:rsidR="00383BCA" w:rsidRPr="00383BCA" w:rsidRDefault="00383BCA" w:rsidP="008C2D46">
            <w:pPr>
              <w:numPr>
                <w:ilvl w:val="0"/>
                <w:numId w:val="2"/>
              </w:numPr>
              <w:spacing w:line="259" w:lineRule="auto"/>
              <w:ind w:left="0" w:firstLine="567"/>
              <w:contextualSpacing/>
              <w:jc w:val="both"/>
              <w:rPr>
                <w:rFonts w:ascii="Georgia" w:hAnsi="Georgia"/>
              </w:rPr>
            </w:pPr>
            <w:r w:rsidRPr="00383BCA">
              <w:rPr>
                <w:rFonts w:ascii="Georgia" w:eastAsia="Times New Roman" w:hAnsi="Georgia" w:cs="Tahoma"/>
                <w:b/>
                <w:bCs/>
                <w:kern w:val="0"/>
                <w:lang w:eastAsia="ro-RO"/>
                <w14:ligatures w14:val="none"/>
              </w:rPr>
              <w:t>Dosar 36881/3/2022/a2</w:t>
            </w:r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t xml:space="preserve"> camera preliminară fond - verificare măsuri asigurătorii (</w:t>
            </w:r>
            <w:proofErr w:type="spellStart"/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t>art</w:t>
            </w:r>
            <w:proofErr w:type="spellEnd"/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t xml:space="preserve"> 250 </w:t>
            </w:r>
            <w:proofErr w:type="spellStart"/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t>c.pr.pen</w:t>
            </w:r>
            <w:proofErr w:type="spellEnd"/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t>.)</w:t>
            </w:r>
          </w:p>
          <w:p w:rsidR="00383BCA" w:rsidRPr="00383BCA" w:rsidRDefault="00383BCA" w:rsidP="008C2D46">
            <w:pPr>
              <w:spacing w:line="259" w:lineRule="auto"/>
              <w:ind w:firstLine="567"/>
              <w:jc w:val="both"/>
              <w:rPr>
                <w:rFonts w:ascii="Georgia" w:hAnsi="Georgia"/>
              </w:rPr>
            </w:pPr>
            <w:r w:rsidRPr="00383BCA">
              <w:rPr>
                <w:rFonts w:ascii="Georgia" w:hAnsi="Georgia"/>
                <w:lang w:eastAsia="ro-RO"/>
              </w:rPr>
              <w:t xml:space="preserve">În baza art. 2502 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C.p.p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 xml:space="preserve">. 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menţine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 xml:space="preserve"> sechestrul asigurător instituit prin 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ordonanţa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 xml:space="preserve"> cu nr. 66/P/2021 din data de 22.12.2022, emisă de P.Î.C.C.J. – 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Direcţia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 xml:space="preserve"> 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Naţională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 xml:space="preserve"> 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Anticorupţie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 xml:space="preserve"> cu privire la imobilul teren intravilan în 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suprafaţă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 xml:space="preserve"> de 5.700 mp, situat în jud. Giurgiu, loc. Ogrezeni, str. Principală nr. 1211 B, carte funciară nr. 31235, 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deţinut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 xml:space="preserve"> de inc. 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Mihaly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 xml:space="preserve"> Daniela, astfel cum a fost restrâns prin încheierea din 23.02.2023 a Tribunalului 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Bucureşti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>. Încheiere finală (</w:t>
            </w:r>
            <w:proofErr w:type="spellStart"/>
            <w:r w:rsidRPr="00383BCA">
              <w:rPr>
                <w:rFonts w:ascii="Georgia" w:hAnsi="Georgia"/>
                <w:lang w:eastAsia="ro-RO"/>
              </w:rPr>
              <w:t>dezinvestire</w:t>
            </w:r>
            <w:proofErr w:type="spellEnd"/>
            <w:r w:rsidRPr="00383BCA">
              <w:rPr>
                <w:rFonts w:ascii="Georgia" w:hAnsi="Georgia"/>
                <w:lang w:eastAsia="ro-RO"/>
              </w:rPr>
              <w:t>)  din 06.02.2025.</w:t>
            </w:r>
          </w:p>
          <w:p w:rsidR="00383BCA" w:rsidRPr="00383BCA" w:rsidRDefault="00383BCA" w:rsidP="008C2D46">
            <w:pPr>
              <w:spacing w:line="259" w:lineRule="auto"/>
              <w:ind w:firstLine="567"/>
              <w:jc w:val="both"/>
              <w:rPr>
                <w:rFonts w:ascii="Georgia" w:hAnsi="Georgia"/>
                <w:lang w:eastAsia="ro-RO"/>
              </w:rPr>
            </w:pPr>
          </w:p>
        </w:tc>
      </w:tr>
      <w:tr w:rsidR="00383BCA" w:rsidRPr="00383BCA" w:rsidTr="0029068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BCA" w:rsidRPr="00383BCA" w:rsidRDefault="00383BCA" w:rsidP="008C2D46">
            <w:pPr>
              <w:spacing w:after="0" w:line="240" w:lineRule="auto"/>
              <w:ind w:firstLine="567"/>
              <w:jc w:val="both"/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</w:pPr>
            <w:r w:rsidRPr="00383BCA">
              <w:rPr>
                <w:rFonts w:ascii="Georgia" w:eastAsia="Times New Roman" w:hAnsi="Georgia" w:cs="Tahoma"/>
                <w:kern w:val="0"/>
                <w:lang w:eastAsia="ro-RO"/>
                <w14:ligatures w14:val="none"/>
              </w:rPr>
              <w:br/>
            </w:r>
          </w:p>
        </w:tc>
      </w:tr>
      <w:tr w:rsidR="00383BCA" w:rsidRPr="00383BCA" w:rsidTr="002906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83BCA" w:rsidRPr="00383BCA" w:rsidTr="0029068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83BCA" w:rsidRPr="00383BCA" w:rsidRDefault="00383BCA" w:rsidP="008C2D46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ahoma"/>
                      <w:kern w:val="0"/>
                      <w:lang w:eastAsia="ro-RO"/>
                      <w14:ligatures w14:val="none"/>
                    </w:rPr>
                  </w:pPr>
                </w:p>
              </w:tc>
            </w:tr>
            <w:tr w:rsidR="00383BCA" w:rsidRPr="00383BCA" w:rsidTr="0029068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83BCA" w:rsidRPr="00383BCA" w:rsidRDefault="00383BCA" w:rsidP="008C2D46">
                  <w:pPr>
                    <w:spacing w:line="259" w:lineRule="auto"/>
                    <w:ind w:firstLine="567"/>
                    <w:jc w:val="both"/>
                    <w:rPr>
                      <w:rFonts w:ascii="Georgia" w:hAnsi="Georgia"/>
                      <w:lang w:eastAsia="ro-RO"/>
                    </w:rPr>
                  </w:pPr>
                </w:p>
              </w:tc>
            </w:tr>
          </w:tbl>
          <w:p w:rsidR="00383BCA" w:rsidRPr="00383BCA" w:rsidRDefault="00383BCA" w:rsidP="008C2D46">
            <w:pPr>
              <w:spacing w:after="0" w:line="240" w:lineRule="auto"/>
              <w:ind w:firstLine="567"/>
              <w:jc w:val="both"/>
              <w:textAlignment w:val="baseline"/>
              <w:rPr>
                <w:rFonts w:ascii="Georgia" w:eastAsia="Times New Roman" w:hAnsi="Georgia" w:cs="Arial"/>
                <w:kern w:val="0"/>
                <w:lang w:eastAsia="ro-RO"/>
                <w14:ligatures w14:val="none"/>
              </w:rPr>
            </w:pPr>
          </w:p>
        </w:tc>
      </w:tr>
    </w:tbl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spacing w:after="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  <w:r w:rsidRPr="00383BCA">
        <w:rPr>
          <w:rFonts w:ascii="Georgia" w:hAnsi="Georgia" w:cs="Times New Roman"/>
          <w:kern w:val="0"/>
          <w14:ligatures w14:val="none"/>
        </w:rPr>
        <w:t>Av. Dinu Baltasiu</w:t>
      </w:r>
    </w:p>
    <w:p w:rsidR="00383BCA" w:rsidRPr="00383BCA" w:rsidRDefault="00383BCA" w:rsidP="008C2D46">
      <w:pPr>
        <w:spacing w:after="20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spacing w:after="200" w:line="276" w:lineRule="auto"/>
        <w:ind w:right="-46" w:firstLine="567"/>
        <w:jc w:val="both"/>
        <w:rPr>
          <w:rFonts w:ascii="Georgia" w:hAnsi="Georgia" w:cs="Times New Roman"/>
          <w:kern w:val="0"/>
          <w14:ligatures w14:val="none"/>
        </w:rPr>
      </w:pPr>
    </w:p>
    <w:p w:rsidR="00383BCA" w:rsidRPr="00383BCA" w:rsidRDefault="00383BCA" w:rsidP="008C2D46">
      <w:pPr>
        <w:spacing w:line="259" w:lineRule="auto"/>
        <w:ind w:firstLine="567"/>
        <w:jc w:val="both"/>
        <w:rPr>
          <w:rFonts w:ascii="Georgia" w:hAnsi="Georgia"/>
        </w:rPr>
      </w:pPr>
    </w:p>
    <w:p w:rsidR="00383BCA" w:rsidRDefault="00383BCA" w:rsidP="008C2D46">
      <w:pPr>
        <w:ind w:firstLine="567"/>
      </w:pPr>
    </w:p>
    <w:sectPr w:rsidR="00383BCA" w:rsidSect="00383BCA">
      <w:footerReference w:type="default" r:id="rId7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927" w:rsidRDefault="001D3927">
      <w:pPr>
        <w:spacing w:after="0" w:line="240" w:lineRule="auto"/>
      </w:pPr>
      <w:r>
        <w:separator/>
      </w:r>
    </w:p>
  </w:endnote>
  <w:endnote w:type="continuationSeparator" w:id="0">
    <w:p w:rsidR="001D3927" w:rsidRDefault="001D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4080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77AF" w:rsidRDefault="0000000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77AF" w:rsidRDefault="00E377A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927" w:rsidRDefault="001D3927">
      <w:pPr>
        <w:spacing w:after="0" w:line="240" w:lineRule="auto"/>
      </w:pPr>
      <w:r>
        <w:separator/>
      </w:r>
    </w:p>
  </w:footnote>
  <w:footnote w:type="continuationSeparator" w:id="0">
    <w:p w:rsidR="001D3927" w:rsidRDefault="001D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376CF"/>
    <w:multiLevelType w:val="hybridMultilevel"/>
    <w:tmpl w:val="AFB6532E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791C0399"/>
    <w:multiLevelType w:val="hybridMultilevel"/>
    <w:tmpl w:val="66123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16314">
    <w:abstractNumId w:val="1"/>
  </w:num>
  <w:num w:numId="2" w16cid:durableId="73631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CA"/>
    <w:rsid w:val="001D3927"/>
    <w:rsid w:val="00383BCA"/>
    <w:rsid w:val="008C2D46"/>
    <w:rsid w:val="00BC2D7F"/>
    <w:rsid w:val="00E377AF"/>
    <w:rsid w:val="00EB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7656"/>
  <w15:chartTrackingRefBased/>
  <w15:docId w15:val="{BE939E67-1864-4F29-B094-3CF590EC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8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8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83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83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83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83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83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83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83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83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83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3BC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83BC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83BC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83BC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83BC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83BC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83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8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8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8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8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83BC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83BC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83BC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8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83BC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83BCA"/>
    <w:rPr>
      <w:b/>
      <w:bCs/>
      <w:smallCaps/>
      <w:color w:val="2F5496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semiHidden/>
    <w:unhideWhenUsed/>
    <w:rsid w:val="00383BCA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83B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4B Baltasiu Alexandru</dc:creator>
  <cp:keywords/>
  <dc:description/>
  <cp:lastModifiedBy>4B Baltasiu Alexandru</cp:lastModifiedBy>
  <cp:revision>3</cp:revision>
  <dcterms:created xsi:type="dcterms:W3CDTF">2025-04-11T05:22:00Z</dcterms:created>
  <dcterms:modified xsi:type="dcterms:W3CDTF">2025-04-11T06:31:00Z</dcterms:modified>
</cp:coreProperties>
</file>